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9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35C9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7" o:title="" grayscale="t"/>
          </v:shape>
          <o:OLEObject Type="Embed" ProgID="Word.Picture.8" ShapeID="_x0000_i1025" DrawAspect="Content" ObjectID="_1611581942" r:id="rId8"/>
        </w:object>
      </w:r>
    </w:p>
    <w:p w:rsidR="00A35C98" w:rsidRPr="00A35C98" w:rsidRDefault="00A35C98" w:rsidP="00A35C98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35C9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  <w:r w:rsidRPr="00A35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35C98" w:rsidRPr="00A35C98" w:rsidRDefault="00A35C98" w:rsidP="00A3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Новомихайловского сельского поселения</w:t>
      </w:r>
    </w:p>
    <w:p w:rsidR="00A35C98" w:rsidRPr="00A35C98" w:rsidRDefault="00A35C98" w:rsidP="00A35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Монастырщинского района Смоленской области</w:t>
      </w:r>
    </w:p>
    <w:p w:rsidR="00A35C98" w:rsidRPr="00A35C98" w:rsidRDefault="00A35C98" w:rsidP="00A35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A35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35C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121C25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05.02.2019г                №6</w:t>
      </w:r>
    </w:p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25" w:rsidRPr="00A35C98" w:rsidRDefault="00121C25" w:rsidP="000F1A17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</w:t>
      </w:r>
      <w:r w:rsidR="000F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0F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Новомихайловского сельского поселения Монастырщинского района Смоленской области от 26.02.2013г №13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нормативн</w:t>
      </w:r>
      <w:proofErr w:type="gramStart"/>
      <w:r w:rsidR="0012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2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базы о порядке разработки и утверждения административных регламентов предоставления муниципальных услуг Администрацией Новомихайловского сельского поселения Монастырщинского района Смоленской области в соответствии с нормами действующего законодательства, в том числе Федерального закона от 27.07.2010 № 210-ФЗ « Об организации предоставления государственных и муниципальных услуг» 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121C25" w:rsidP="00A3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Новомихайловского сельского поселения Монастырщинского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Новомихайловского сельского поселения Монастырщинского района Смоленской области </w:t>
      </w:r>
      <w:r w:rsidR="0003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26.02.2013 №13 « Об утверждении порядка разработки и утверждения административных регламентов предоставления муниципальных </w:t>
      </w:r>
      <w:r w:rsidR="00CB7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 следующе</w:t>
      </w:r>
      <w:bookmarkStart w:id="0" w:name="_GoBack"/>
      <w:bookmarkEnd w:id="0"/>
      <w:r w:rsidR="000300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изменение:</w:t>
      </w:r>
    </w:p>
    <w:p w:rsidR="00A35C98" w:rsidRDefault="00A35C98" w:rsidP="0003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050" w:rsidRDefault="00030050" w:rsidP="0003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пункт 3.4.2 изложить в следующей редакции:</w:t>
      </w:r>
    </w:p>
    <w:p w:rsidR="00030050" w:rsidRDefault="00030050" w:rsidP="0003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Новомихайловского сельского поселения.</w:t>
      </w:r>
      <w:r w:rsidR="007D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срок не может быть менее пятнадцати дней со дня размещения проекта административного регламента на официальном сайте в сети Интернет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30050" w:rsidRDefault="007D01A6" w:rsidP="0003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7D01A6" w:rsidRPr="00A35C98" w:rsidRDefault="007D01A6" w:rsidP="0003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7D01A6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5C98"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</w:p>
    <w:p w:rsidR="00A35C98" w:rsidRP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A35C98" w:rsidRDefault="00A35C98" w:rsidP="00A3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</w:t>
      </w:r>
      <w:r w:rsidR="007D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01A6" w:rsidRPr="007D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</w:p>
    <w:p w:rsidR="0024661A" w:rsidRDefault="0024661A" w:rsidP="00A3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61A" w:rsidRDefault="0024661A" w:rsidP="00A3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61A" w:rsidRPr="00A35C98" w:rsidRDefault="0024661A" w:rsidP="00A35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35C98" w:rsidRP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FF" w:rsidRPr="00A35C98" w:rsidRDefault="004E05FF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17" w:rsidRPr="00A35C98" w:rsidRDefault="000F1A17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0F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35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F1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C98" w:rsidRPr="00A35C98" w:rsidRDefault="00A35C98" w:rsidP="0024661A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F1A17" w:rsidRDefault="00A35C98" w:rsidP="000F1A17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сельского поселения</w:t>
      </w:r>
      <w:r w:rsidR="000F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</w:t>
      </w:r>
      <w:r w:rsidR="000F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</w:t>
      </w:r>
    </w:p>
    <w:p w:rsidR="00404E98" w:rsidRDefault="000F1A17" w:rsidP="000F1A17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5C98" w:rsidRPr="00A35C98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 2013 г.  № 13</w:t>
      </w:r>
    </w:p>
    <w:p w:rsidR="000F1A17" w:rsidRDefault="00404E98" w:rsidP="0024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F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1A17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редакции постановления от  05</w:t>
      </w:r>
      <w:r w:rsidR="002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.02.2019</w:t>
      </w:r>
      <w:proofErr w:type="gramEnd"/>
    </w:p>
    <w:p w:rsidR="00A35C98" w:rsidRPr="00A35C98" w:rsidRDefault="000F1A17" w:rsidP="0024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6)</w:t>
      </w:r>
    </w:p>
    <w:p w:rsidR="00A35C98" w:rsidRPr="00A35C98" w:rsidRDefault="00A35C98" w:rsidP="00A35C98">
      <w:pPr>
        <w:snapToGri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МУНИЦИПАЛЬНЫХ УСЛУГ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35C98" w:rsidRPr="00A35C98" w:rsidRDefault="00A35C98" w:rsidP="00A35C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98" w:rsidRPr="000F1A17" w:rsidRDefault="00A35C98" w:rsidP="000F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F1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 Новомихайловского сельского поселения Монастырщинского района Смоленской области административных регламентов предоставления  муниципальных услуг (далее - административный регламент).</w:t>
      </w:r>
      <w:proofErr w:type="gramEnd"/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Административный регламент – это нормативный правовой акт, устанавливающий порядок</w:t>
      </w:r>
      <w:r w:rsidR="0024661A"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и стандарт предоставления муниципальной услуги.</w:t>
      </w:r>
    </w:p>
    <w:p w:rsidR="00A35C98" w:rsidRPr="000F1A17" w:rsidRDefault="0024661A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35C98"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Административный регламент устанавливает сроки и последовательность административных процедур и административных действий Администрацией   Новомихайловского сельского поселения Монастырщинского района Смоленской области (далее по тексту – Администрация</w:t>
      </w:r>
      <w:proofErr w:type="gramStart"/>
      <w:r w:rsidR="00A35C98"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5C98"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         ее    структурных подразделений, порядок взаимодействия между ее структурными 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подразделениями и должностными лицами, а также взаимодействие Администрации 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A35C98" w:rsidRPr="000F1A17" w:rsidRDefault="00A35C98" w:rsidP="000F1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Административные регламенты разрабатываются структурными подразделениями Администрации</w:t>
      </w:r>
      <w:proofErr w:type="gramStart"/>
      <w:r w:rsidRPr="000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деятельности которых относится исполнение соответствующей муниципальной услуги.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0000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Административные регламенты подлежат опубликованию 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24661A"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доступе к информации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деятельности органов местного самоуправления, а также размещаются в сети Интернет на официальных сайтах Администрации  и муниципальных учреждений, участвующих в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предоставлении муниципальной и услуги, в региональном портале государственных и муниципальных услуг.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Тексты административных регламентов размещаются в местах предоставления муниципальных услуг.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упорядочение административных процедур и административных действий;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2. Требования к административным регламентам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административных регламентах не могут устанавливаться полномочия структурных подразделений Администрации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Структура административного регламента должна содержать разделы, устанавливающие: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общие положения;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стандарт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формы 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Раздел «Общие положения» содержит: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предмет регулирования административного регламента;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сведения о специальных терминах, используемых в административном регламенте (при их наличии);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иными органами местного самоуправления и организациями при предоставлении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требования к порядку информирования о порядке предоставления муниципальной услуги, в том числе: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местах нахождения и графике работы Администрации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структурных подразделениях, о других государственных и муниципальных  органах и организациях,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(при наличии многофункциональных центров предоставления государственных и муниципальных услуг, обслуживающих соответствующую территорию);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справочные телефоны Администрации, ее структурных подразделений, предоставляющих муниципальную услугу, организаций, участвующих в предоставлении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 официальных сайтов Администрации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организаций, участвующих в предоставлении муниципальной услуги, содержащие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регионального портала государственных и муниципальных услуг;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Интернет на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Раздел «Стандарт предоставления муниципальной услуги» состоит из следующих подразделов: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данном подразделе также указываются требования пункта 3 статьи 7 Федерального закона от 27 июля 2010 года № 210-ФЗ </w:t>
      </w:r>
      <w:r w:rsidRPr="000F1A1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нормативным правовым актом представительного органа местного самоуправления.</w:t>
      </w:r>
      <w:r w:rsidRPr="000F1A1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результат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правовые основания для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 В данном подразделе также указываются способы получения документов заявителями (в том числе в электронной форме) и порядок их представления. Бланки,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данном подразделе также указываются требования пунктов 1 и 2 статьи 7 Федерального закона от 27 июля 2010 года № 210-ФЗ «Об организации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услуг», а именно, установление запрета требовать от заявителя: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F1A1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услуги);</w:t>
      </w:r>
      <w:proofErr w:type="gramEnd"/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Указанный раздел должен также содержать порядок осуществления в электронной форме, в том числе с использованием регионального портала государственных и муниципальных услуг, следующих административных процедур и административных действий: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получение заявителем сведений о ходе выполнения запроса о предоставлении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услуги, если иное не установлено федеральным законом;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2.6.2.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2.6.3. Описание каждой административной процедуры предусматривает: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юридические факты, являющиеся основанием для начала административной процедуры;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содержат указание на конкретную должность, она указывается в тексте административного регламента;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содержание административной процедуры, продолжительность и (или) максимальный срок ее выполнения;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Раздел «Формы 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регламента» содержит информацию: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 формах, порядке и периодичности осуществления 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ответственными должностными лицами положений административного регламента;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ответственность должностных лиц, муниципальных служащих Администрации  за решения и действия (бездействие), принимаемые (осуществляемые) в ходе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данном разделе указываются: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исчерпывающий перечень оснований для отказа в рассмотрении жалобы либо приостановлении ее рассмотрения;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основания для начала процедуры досудебного (внесудебного) обжалования;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должностные лица, которым может быть адресована жалоба заявителя в досудебном (внесудебном) порядке;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сроки рассмотрения жалобы;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Разработка и утверждение административных регламентов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При подготовке проекта административного регламента следует использовать текстовый редактор </w:t>
      </w:r>
      <w:proofErr w:type="spell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Microsoft</w:t>
      </w:r>
      <w:proofErr w:type="spell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Word</w:t>
      </w:r>
      <w:proofErr w:type="spell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использованием шрифта </w:t>
      </w:r>
      <w:proofErr w:type="spell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размером 14, межстрочный интервал - одинарный, поля документа: левое - </w:t>
      </w:r>
      <w:smartTag w:uri="urn:schemas-microsoft-com:office:smarttags" w:element="metricconverter">
        <w:smartTagPr>
          <w:attr w:name="ProductID" w:val="20 мм"/>
        </w:smartTagPr>
        <w:r w:rsidRPr="000F1A1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 мм</w:t>
        </w:r>
      </w:smartTag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0F1A1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 мм</w:t>
        </w:r>
      </w:smartTag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F1A1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 мм</w:t>
        </w:r>
      </w:smartTag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F1A1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 мм</w:t>
        </w:r>
      </w:smartTag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Также необходимо осуществлять нумерацию страниц (первый лист не 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нумеруется). Текст административного регламента должен содержать автоматическую нумерацию разделов, подразделов, списков.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Разработчик размещает проект административного регламента в сети Интернет на официальном сайте Администрации муниципального образования. 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Проект административного регламента подлежит независимой экспертизе и экспертизе, проводимой уполномоченным органом Администрации  (далее – уполномоченный орган), определенным правовым актом Администрации 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Данный срок не мо</w:t>
      </w:r>
      <w:r w:rsidR="00404E98"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 быть менее пятнадцати дней</w:t>
      </w: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размещения проекта административного регламента на официальном сайте в сети Интернет.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3.4.4. </w:t>
      </w:r>
      <w:proofErr w:type="spell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Порядок проведения экспертизы уполномоченным органом определяется постановлением Администрации. 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 Административный регламент утверждается постановлением Администрации</w:t>
      </w:r>
      <w:proofErr w:type="gramStart"/>
      <w:r w:rsidRPr="000F1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A35C98" w:rsidRPr="000F1A17" w:rsidRDefault="00A35C98" w:rsidP="000F1A17">
      <w:pPr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C98" w:rsidRPr="000F1A17" w:rsidRDefault="00A35C98" w:rsidP="000F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1C" w:rsidRPr="000F1A17" w:rsidRDefault="00FD041C" w:rsidP="000F1A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41C" w:rsidRPr="000F1A17" w:rsidSect="00B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B2" w:rsidRDefault="00E04CB2" w:rsidP="00A35C98">
      <w:pPr>
        <w:spacing w:after="0" w:line="240" w:lineRule="auto"/>
      </w:pPr>
      <w:r>
        <w:separator/>
      </w:r>
    </w:p>
  </w:endnote>
  <w:endnote w:type="continuationSeparator" w:id="0">
    <w:p w:rsidR="00E04CB2" w:rsidRDefault="00E04CB2" w:rsidP="00A3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B2" w:rsidRDefault="00E04CB2" w:rsidP="00A35C98">
      <w:pPr>
        <w:spacing w:after="0" w:line="240" w:lineRule="auto"/>
      </w:pPr>
      <w:r>
        <w:separator/>
      </w:r>
    </w:p>
  </w:footnote>
  <w:footnote w:type="continuationSeparator" w:id="0">
    <w:p w:rsidR="00E04CB2" w:rsidRDefault="00E04CB2" w:rsidP="00A35C98">
      <w:pPr>
        <w:spacing w:after="0" w:line="240" w:lineRule="auto"/>
      </w:pPr>
      <w:r>
        <w:continuationSeparator/>
      </w:r>
    </w:p>
  </w:footnote>
  <w:footnote w:id="1">
    <w:p w:rsidR="00A35C98" w:rsidRDefault="00A35C98" w:rsidP="00A35C98">
      <w:pPr>
        <w:pStyle w:val="a3"/>
      </w:pPr>
      <w:r>
        <w:rPr>
          <w:rStyle w:val="a5"/>
        </w:rPr>
        <w:footnoteRef/>
      </w:r>
      <w:r>
        <w:t xml:space="preserve">  пункт 3 статьи 7 Федерального закона от 27 июля 2010 года № 210-ФЗ </w:t>
      </w:r>
      <w:r>
        <w:rPr>
          <w:iCs/>
        </w:rPr>
        <w:t>«Об организации предоставления государственных и муниципальных услуг»</w:t>
      </w:r>
      <w:r>
        <w:t xml:space="preserve"> вступает в силу с 1 июля 2011 года</w:t>
      </w:r>
    </w:p>
  </w:footnote>
  <w:footnote w:id="2">
    <w:p w:rsidR="00A35C98" w:rsidRDefault="00A35C98" w:rsidP="00A35C98">
      <w:pPr>
        <w:pStyle w:val="a3"/>
      </w:pPr>
      <w:r>
        <w:rPr>
          <w:rStyle w:val="a5"/>
        </w:rPr>
        <w:footnoteRef/>
      </w:r>
      <w:r>
        <w:t xml:space="preserve"> пункт 2 статьи 7 Федерального закона от 27 июля 2010 года № 210-ФЗ </w:t>
      </w:r>
      <w:r>
        <w:rPr>
          <w:iCs/>
        </w:rPr>
        <w:t>«Об организации предоставления государственных и муниципальных услуг»</w:t>
      </w:r>
      <w:r>
        <w:t xml:space="preserve"> вступает в силу с 1 июля 2011 года</w:t>
      </w:r>
    </w:p>
    <w:p w:rsidR="00A35C98" w:rsidRDefault="00A35C98" w:rsidP="00A35C9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98"/>
    <w:rsid w:val="00030050"/>
    <w:rsid w:val="000F1A17"/>
    <w:rsid w:val="00121C25"/>
    <w:rsid w:val="0024661A"/>
    <w:rsid w:val="00404E98"/>
    <w:rsid w:val="004E05FF"/>
    <w:rsid w:val="006A1CDE"/>
    <w:rsid w:val="007D01A6"/>
    <w:rsid w:val="0095355B"/>
    <w:rsid w:val="00A35C98"/>
    <w:rsid w:val="00BE4079"/>
    <w:rsid w:val="00CB7F09"/>
    <w:rsid w:val="00CD0557"/>
    <w:rsid w:val="00D97B4D"/>
    <w:rsid w:val="00E04CB2"/>
    <w:rsid w:val="00F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5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5C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5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5C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CB82-1F2F-4818-87AC-FFAA8A7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2019-02-05T12:39:00Z</cp:lastPrinted>
  <dcterms:created xsi:type="dcterms:W3CDTF">2019-02-05T10:17:00Z</dcterms:created>
  <dcterms:modified xsi:type="dcterms:W3CDTF">2019-02-13T12:53:00Z</dcterms:modified>
</cp:coreProperties>
</file>