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4" w:rsidRPr="000B3EB7" w:rsidRDefault="00AF2C64" w:rsidP="00AF2C64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 w:rsidR="009A6F6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</w:t>
      </w:r>
    </w:p>
    <w:p w:rsidR="00AF2C64" w:rsidRPr="000B3EB7" w:rsidRDefault="00AF2C64" w:rsidP="00AF2C64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AF2C64" w:rsidRPr="000B3EB7" w:rsidRDefault="00AF2C64" w:rsidP="00AF2C64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AF2C64" w:rsidRPr="000B3EB7" w:rsidRDefault="00AF2C64" w:rsidP="00AF2C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AF2C64" w:rsidRPr="000B3EB7" w:rsidRDefault="00AF2C64" w:rsidP="00AF2C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AF2C64" w:rsidRPr="000B3EB7" w:rsidRDefault="00AF2C64" w:rsidP="00AF2C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2C64" w:rsidRPr="000B3EB7" w:rsidRDefault="00AF2C64" w:rsidP="00AF2C6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AF2C64" w:rsidRPr="000B3EB7" w:rsidRDefault="00AF2C64" w:rsidP="00AF2C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2C64" w:rsidRPr="000B3EB7" w:rsidRDefault="00AF2C64" w:rsidP="00AF2C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9A6F66">
        <w:rPr>
          <w:rFonts w:ascii="Times New Roman" w:eastAsia="Calibri" w:hAnsi="Times New Roman" w:cs="Times New Roman"/>
          <w:sz w:val="28"/>
          <w:szCs w:val="28"/>
        </w:rPr>
        <w:t>23.08.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9A6F66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AF2C64" w:rsidRPr="000B3EB7" w:rsidRDefault="00AF2C64" w:rsidP="00AF2C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F2C64" w:rsidRPr="000B3EB7" w:rsidRDefault="00D2630E" w:rsidP="00D263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</w:t>
      </w:r>
    </w:p>
    <w:p w:rsidR="00AF2C64" w:rsidRPr="000B3EB7" w:rsidRDefault="00D2630E" w:rsidP="00D263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</w:p>
    <w:p w:rsidR="00AF2C64" w:rsidRPr="000B3EB7" w:rsidRDefault="00D2630E" w:rsidP="00D263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Монастырщинского</w:t>
      </w:r>
    </w:p>
    <w:p w:rsidR="00D2630E" w:rsidRDefault="00AF2C64" w:rsidP="00D263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2C64" w:rsidRPr="000B3EB7" w:rsidRDefault="00AF2C64" w:rsidP="00D263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 полугодие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1 полугодие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Совет депутатов Новомихайловского сельского поселения Монастырщинского района Смоленской области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C64" w:rsidRPr="000B3EB7" w:rsidRDefault="00D2630E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>Отчет об испо</w:t>
      </w:r>
      <w:r w:rsidR="00AF2C64">
        <w:rPr>
          <w:rFonts w:ascii="Times New Roman" w:eastAsia="Calibri" w:hAnsi="Times New Roman" w:cs="Times New Roman"/>
          <w:bCs/>
          <w:sz w:val="28"/>
          <w:szCs w:val="28"/>
        </w:rPr>
        <w:t>лнении бюджета за 1 полугодие 2021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ского района Смоленской области</w:t>
      </w:r>
      <w:r w:rsidR="00AF2C64"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263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 с момента его подписания.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C64" w:rsidRPr="000B3EB7" w:rsidRDefault="00AF2C64" w:rsidP="00AF2C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AF2C64" w:rsidRPr="000B3EB7" w:rsidRDefault="00AF2C64" w:rsidP="00AF2C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AB531D" w:rsidRPr="00AB531D" w:rsidRDefault="00AF2C64" w:rsidP="00AB53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</w:p>
    <w:p w:rsidR="00AB531D" w:rsidRPr="00AB531D" w:rsidRDefault="00AB531D" w:rsidP="00AB531D">
      <w:pPr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AB53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531D" w:rsidRPr="00AB531D" w:rsidRDefault="00AB531D" w:rsidP="00AB53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AB531D" w:rsidRPr="00AB531D" w:rsidTr="00226603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ind w:left="-288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B531D" w:rsidRPr="00AB531D" w:rsidTr="00226603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ind w:left="-288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0503160 </w:t>
            </w:r>
          </w:p>
        </w:tc>
      </w:tr>
      <w:tr w:rsidR="00AB531D" w:rsidRPr="00AB531D" w:rsidTr="00226603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на 1 июля 2021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AB531D" w:rsidRPr="00AB531D" w:rsidTr="00226603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79914312</w:t>
            </w:r>
          </w:p>
        </w:tc>
      </w:tr>
      <w:tr w:rsidR="00AB531D" w:rsidRPr="00AB531D" w:rsidTr="00226603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AB531D" w:rsidRPr="00AB531D" w:rsidTr="0022660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66227860000</w:t>
            </w:r>
          </w:p>
        </w:tc>
      </w:tr>
      <w:tr w:rsidR="00AB531D" w:rsidRPr="00AB531D" w:rsidTr="00226603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383   </w:t>
            </w:r>
          </w:p>
        </w:tc>
      </w:tr>
    </w:tbl>
    <w:p w:rsidR="00AB531D" w:rsidRPr="00AB531D" w:rsidRDefault="00AB531D" w:rsidP="00AB531D">
      <w:pPr>
        <w:rPr>
          <w:rFonts w:ascii="Times New Roman" w:hAnsi="Times New Roman" w:cs="Times New Roman"/>
          <w:sz w:val="28"/>
          <w:szCs w:val="28"/>
        </w:rPr>
      </w:pP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Pr="00AB5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AB531D" w:rsidRPr="00AB531D" w:rsidRDefault="00AB531D" w:rsidP="00AB53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овомихайловское сельское поселение Монастырщинского района Смоленской области(далее – сельское поселение) – муниципальное образование, наделенное в соответствии с областным законом от 2 декабря 2004 года №</w:t>
      </w:r>
      <w:r w:rsidRPr="00AB531D">
        <w:rPr>
          <w:rFonts w:ascii="Times New Roman" w:hAnsi="Times New Roman" w:cs="Times New Roman"/>
          <w:bCs/>
          <w:sz w:val="28"/>
          <w:szCs w:val="28"/>
        </w:rPr>
        <w:t xml:space="preserve"> 89-з</w:t>
      </w:r>
      <w:r w:rsidRPr="00AB531D">
        <w:rPr>
          <w:rFonts w:ascii="Times New Roman" w:hAnsi="Times New Roman" w:cs="Times New Roman"/>
          <w:sz w:val="28"/>
          <w:szCs w:val="28"/>
        </w:rPr>
        <w:t xml:space="preserve">  «О наделении статусом 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</w:t>
      </w:r>
      <w:r w:rsidRPr="00AB531D">
        <w:rPr>
          <w:rFonts w:ascii="Times New Roman" w:hAnsi="Times New Roman" w:cs="Times New Roman"/>
          <w:sz w:val="28"/>
          <w:szCs w:val="28"/>
        </w:rPr>
        <w:lastRenderedPageBreak/>
        <w:t>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AB531D" w:rsidRPr="00AB531D" w:rsidRDefault="00AB531D" w:rsidP="00AB53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AB531D" w:rsidRPr="00AB531D" w:rsidRDefault="00AB531D" w:rsidP="00AB5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AB531D" w:rsidRPr="00AB531D" w:rsidRDefault="00AB531D" w:rsidP="00AB5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AB531D" w:rsidRPr="00AB531D" w:rsidRDefault="00AB531D" w:rsidP="00AB531D">
      <w:pPr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сельского поселения относятся: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формирование, утверждение, исполнение бюджета сельского поселения</w:t>
      </w:r>
    </w:p>
    <w:p w:rsidR="00AB531D" w:rsidRPr="00AB531D" w:rsidRDefault="00AB531D" w:rsidP="00AB5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</w:t>
      </w:r>
    </w:p>
    <w:p w:rsidR="00AB531D" w:rsidRPr="00AB531D" w:rsidRDefault="00AB531D" w:rsidP="00AB5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имуществом, находящимся 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531D" w:rsidRPr="00AB531D" w:rsidRDefault="00AB531D" w:rsidP="00AB5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поселения;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,тепло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 xml:space="preserve">-, 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газо-и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 xml:space="preserve"> водоснабжения населения, водоотведения, снабжения населения топливом;</w:t>
      </w:r>
    </w:p>
    <w:p w:rsidR="00AB531D" w:rsidRPr="00AB531D" w:rsidRDefault="00AB531D" w:rsidP="00AB5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</w:t>
      </w:r>
    </w:p>
    <w:p w:rsidR="00AB531D" w:rsidRPr="00AB531D" w:rsidRDefault="00AB531D" w:rsidP="00AB5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ситуаций  в границах сельского поселения;</w:t>
      </w:r>
    </w:p>
    <w:p w:rsidR="00AB531D" w:rsidRPr="00AB531D" w:rsidRDefault="00AB531D" w:rsidP="00AB5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AB531D" w:rsidRPr="00AB531D" w:rsidRDefault="00AB531D" w:rsidP="00AB53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 w:rsidRPr="00AB531D">
        <w:rPr>
          <w:sz w:val="28"/>
          <w:szCs w:val="28"/>
        </w:rPr>
        <w:t>,н</w:t>
      </w:r>
      <w:proofErr w:type="gramEnd"/>
      <w:r w:rsidRPr="00AB531D"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lastRenderedPageBreak/>
        <w:t>19) формирование архивных фондов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20) организация сбора и вывоза бытовых отходов и мусора;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 w:rsidRPr="00AB531D"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 w:rsidRPr="00AB531D">
        <w:rPr>
          <w:sz w:val="28"/>
          <w:szCs w:val="28"/>
        </w:rPr>
        <w:t xml:space="preserve"> за использованием земель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24)организация ритуальных услуг и содержание мест захоронения;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27) создание</w:t>
      </w:r>
      <w:proofErr w:type="gramStart"/>
      <w:r w:rsidRPr="00AB531D">
        <w:rPr>
          <w:sz w:val="28"/>
          <w:szCs w:val="28"/>
        </w:rPr>
        <w:t xml:space="preserve"> ,</w:t>
      </w:r>
      <w:proofErr w:type="gramEnd"/>
      <w:r w:rsidRPr="00AB531D"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30) осуществление муниципального лесного контроля и надзора;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AB531D" w:rsidRPr="00AB531D" w:rsidRDefault="00AB531D" w:rsidP="00AB531D">
      <w:pPr>
        <w:pStyle w:val="2"/>
        <w:spacing w:line="240" w:lineRule="auto"/>
        <w:jc w:val="both"/>
        <w:rPr>
          <w:sz w:val="28"/>
          <w:szCs w:val="28"/>
        </w:rPr>
      </w:pPr>
      <w:r w:rsidRPr="00AB531D">
        <w:rPr>
          <w:sz w:val="28"/>
          <w:szCs w:val="28"/>
        </w:rPr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AB531D" w:rsidRPr="00AB531D" w:rsidRDefault="00AB531D" w:rsidP="00AB5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</w:t>
      </w:r>
      <w:r w:rsidRPr="00AB531D">
        <w:rPr>
          <w:rFonts w:ascii="Times New Roman" w:hAnsi="Times New Roman" w:cs="Times New Roman"/>
          <w:b/>
          <w:sz w:val="28"/>
          <w:szCs w:val="28"/>
        </w:rPr>
        <w:t>Ф. 0503161 «Сведения о количестве получателей бюджетных средств»</w:t>
      </w:r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AB531D">
        <w:rPr>
          <w:rFonts w:ascii="Times New Roman" w:hAnsi="Times New Roman" w:cs="Times New Roman"/>
          <w:sz w:val="28"/>
          <w:szCs w:val="28"/>
        </w:rPr>
        <w:t xml:space="preserve">По состоянию на 01 июля  2021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AB531D" w:rsidRPr="00AB531D" w:rsidTr="00226603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AB531D" w:rsidRPr="00AB531D" w:rsidTr="0022660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B531D">
        <w:rPr>
          <w:rFonts w:ascii="Times New Roman" w:hAnsi="Times New Roman" w:cs="Times New Roman"/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  <w:u w:val="single"/>
        </w:rPr>
        <w:t>Раздел 2.</w:t>
      </w: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AB531D">
        <w:rPr>
          <w:rFonts w:ascii="Times New Roman" w:hAnsi="Times New Roman" w:cs="Times New Roman"/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 план  по доходам утвержден в сумме 3735,0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 xml:space="preserve">, в том числе  план по собственным доходам утвержден  в сумме 1153,3 тыс.руб. </w:t>
      </w:r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Исполнены доходы за 1 полугодие 2021 в сумме -1564,1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План по налогам на имущество физических лиц составляет 56,5 данный доход за 1 полугодие 2021 года поступил в сумме 1,6 тыс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уб. что составляет 2,8%. Земельный налог исполнен на 12,9%  (план 284,3 тыс.рублей  факт  36,8 тыс.рублей) доля  налога в общем объеме доходов составила 11,2%. План по акцизам  выполнен 47 % (план 889,9 тыс.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>, факт 418,7 тыс.руб.) доля налога в общем объеме доходов составила 26,7%.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1638000,00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819600,00</w:t>
            </w:r>
          </w:p>
        </w:tc>
      </w:tr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53800,00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16226,21</w:t>
            </w:r>
          </w:p>
        </w:tc>
      </w:tr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</w:t>
            </w:r>
          </w:p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  <w:proofErr w:type="gramEnd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</w:t>
            </w:r>
          </w:p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  <w:proofErr w:type="gramEnd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4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1  691800,00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835826,21</w:t>
            </w:r>
          </w:p>
        </w:tc>
      </w:tr>
    </w:tbl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31D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31D" w:rsidRPr="00AB531D" w:rsidRDefault="00AB531D" w:rsidP="00AB531D">
      <w:pPr>
        <w:tabs>
          <w:tab w:val="left" w:pos="42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B531D">
        <w:rPr>
          <w:rFonts w:ascii="Times New Roman" w:hAnsi="Times New Roman" w:cs="Times New Roman"/>
          <w:sz w:val="28"/>
          <w:szCs w:val="28"/>
        </w:rPr>
        <w:t>Расходы   бюджета Новомихайловского сельского поселения  утверждены в сумме 3732,8 тыс. рублей.  Кассовое исполнение  по расходной части сложилось в сумме 1389,3тыс. рублей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что составляет 37,22 процентов исполнения бюджета.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>ОБЩЕГОСУДАРСТВЕННЫЕ    ВОПРОСЫ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1D" w:rsidRPr="00AB531D" w:rsidRDefault="00AB531D" w:rsidP="00AB531D">
      <w:pPr>
        <w:tabs>
          <w:tab w:val="left" w:pos="42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По разделу 01 «Общегосударственные расходы» утвержденные бюджетные назначения  на 2021 год составили  сумме  2433,7 тыс</w:t>
      </w:r>
      <w:r w:rsidRPr="00AB531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B531D">
        <w:rPr>
          <w:rFonts w:ascii="Times New Roman" w:hAnsi="Times New Roman" w:cs="Times New Roman"/>
          <w:sz w:val="28"/>
          <w:szCs w:val="28"/>
        </w:rPr>
        <w:t xml:space="preserve"> рублей. Кассовые расходы за первое полугодие  2021г. сложились в сумме 922,9 тыс. рублей, что составило  37,9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</w:t>
      </w:r>
    </w:p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НАЦИОНАЛЬНАЯ ОБОРОНА</w:t>
      </w:r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По разделу 02 «Национальная оборона »  на начало года утверждены расходы    в сумме 53,8 тыс. рублей. По Уведомлению Департамента бюджета и финансов Смоленской области, расходы были уменьшены на 2,2 тыс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уб., на 01.07.2021г.составили 51,6 тыс. руб.  Кассовое исполнение за первое полугодие составило 16,2 тыс. рублей, или 31,4 процентов от бюджетных назначений, из них на выплату заработной платы с начислениями израсходовано – 16,2 тыс. рублей;  на увеличение стоимости материальных запасов средства не израсходовались. </w:t>
      </w:r>
    </w:p>
    <w:p w:rsidR="00AB531D" w:rsidRPr="00AB531D" w:rsidRDefault="00AB531D" w:rsidP="00AB531D">
      <w:pPr>
        <w:tabs>
          <w:tab w:val="left" w:pos="420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531D" w:rsidRPr="00AB531D" w:rsidRDefault="00AB531D" w:rsidP="00AB531D">
      <w:pPr>
        <w:tabs>
          <w:tab w:val="left" w:pos="420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B531D">
        <w:rPr>
          <w:rFonts w:ascii="Times New Roman" w:hAnsi="Times New Roman" w:cs="Times New Roman"/>
          <w:b/>
          <w:sz w:val="28"/>
          <w:szCs w:val="28"/>
        </w:rPr>
        <w:t>НАЦИОНАЛЬНАЯ   ЭКОНОМИКА</w:t>
      </w:r>
    </w:p>
    <w:p w:rsidR="00AB531D" w:rsidRPr="00AB531D" w:rsidRDefault="00AB531D" w:rsidP="00AB53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531D">
        <w:rPr>
          <w:rFonts w:ascii="Times New Roman" w:hAnsi="Times New Roman" w:cs="Times New Roman"/>
          <w:sz w:val="28"/>
          <w:szCs w:val="28"/>
        </w:rPr>
        <w:t xml:space="preserve"> По разделу  «Национальная экономика»  расходы  утверждены  в сумме  889,9 тыс. рублей</w:t>
      </w:r>
      <w:r w:rsidRPr="00AB53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531D">
        <w:rPr>
          <w:rFonts w:ascii="Times New Roman" w:hAnsi="Times New Roman" w:cs="Times New Roman"/>
          <w:sz w:val="28"/>
          <w:szCs w:val="28"/>
        </w:rPr>
        <w:t>исполнение составило 311,2 тыс. рублей</w:t>
      </w:r>
      <w:r w:rsidRPr="00AB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1D">
        <w:rPr>
          <w:rFonts w:ascii="Times New Roman" w:hAnsi="Times New Roman" w:cs="Times New Roman"/>
          <w:sz w:val="28"/>
          <w:szCs w:val="28"/>
        </w:rPr>
        <w:t>или</w:t>
      </w:r>
      <w:r w:rsidRPr="00AB5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31D">
        <w:rPr>
          <w:rFonts w:ascii="Times New Roman" w:hAnsi="Times New Roman" w:cs="Times New Roman"/>
          <w:sz w:val="28"/>
          <w:szCs w:val="28"/>
        </w:rPr>
        <w:t>34,9 % от утвержденных бюджетных назначений, из них направлено:</w:t>
      </w:r>
    </w:p>
    <w:p w:rsidR="00AB531D" w:rsidRPr="00AB531D" w:rsidRDefault="00AB531D" w:rsidP="00AB5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Транспор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B531D" w:rsidRPr="00AB531D" w:rsidRDefault="00AB531D" w:rsidP="00AB5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Дорожное хозяйство                        192,1  тыс.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B531D" w:rsidRPr="00AB531D" w:rsidRDefault="00AB531D" w:rsidP="00AB5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Оплата уличного освещения          119,1 тыс.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B531D" w:rsidRPr="00AB531D" w:rsidRDefault="00AB531D" w:rsidP="00AB531D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B531D" w:rsidRPr="00AB531D" w:rsidRDefault="00AB531D" w:rsidP="00AB531D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B531D" w:rsidRPr="00AB531D" w:rsidRDefault="00AB531D" w:rsidP="00AB531D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281,6 тыс. рублей, кассовые расходы сложились в сумме 96,8 тыс. рублей, что составляет  34,37 процентов  от годовых назначений.</w:t>
      </w:r>
    </w:p>
    <w:p w:rsidR="00AB531D" w:rsidRPr="00AB531D" w:rsidRDefault="00AB531D" w:rsidP="00AB531D">
      <w:pPr>
        <w:tabs>
          <w:tab w:val="left" w:pos="420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>РАСШИФРОВКА</w:t>
      </w:r>
    </w:p>
    <w:p w:rsidR="00AB531D" w:rsidRPr="00AB531D" w:rsidRDefault="00AB531D" w:rsidP="00AB531D">
      <w:pPr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AB531D">
        <w:rPr>
          <w:rFonts w:ascii="Times New Roman" w:hAnsi="Times New Roman" w:cs="Times New Roman"/>
          <w:sz w:val="28"/>
          <w:szCs w:val="28"/>
        </w:rPr>
        <w:t>расходов по разделу 05 «Жилищно-коммунальное хозяйство»</w:t>
      </w:r>
    </w:p>
    <w:p w:rsidR="00AB531D" w:rsidRPr="00AB531D" w:rsidRDefault="00AB531D" w:rsidP="00AB531D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AB531D" w:rsidRPr="00AB531D" w:rsidTr="002266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поселения</w:t>
            </w:r>
          </w:p>
        </w:tc>
      </w:tr>
      <w:tr w:rsidR="00AB531D" w:rsidRPr="00AB531D" w:rsidTr="002266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0502 0320121280 244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(ремонт водопроводных сетей</w:t>
            </w:r>
            <w:proofErr w:type="gram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0501 0310120320,244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0502 0320121290 244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75,9</w:t>
            </w:r>
          </w:p>
        </w:tc>
      </w:tr>
      <w:tr w:rsidR="00AB531D" w:rsidRPr="00AB531D" w:rsidTr="00226603">
        <w:trPr>
          <w:trHeight w:val="6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0503 0700500 013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(средства резервного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8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0503 0340120340 244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(расходы  по уличному освещению - восстановление и обслуживание)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0503 0342031 244 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9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0503 0332031 244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AB531D" w:rsidRPr="00AB531D" w:rsidTr="00226603">
        <w:trPr>
          <w:trHeight w:val="9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0503 04Я0221320 244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</w:p>
        </w:tc>
      </w:tr>
      <w:tr w:rsidR="00AB531D" w:rsidRPr="00AB531D" w:rsidTr="00226603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05025210303411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Изыскательские работы по </w:t>
            </w:r>
            <w:proofErr w:type="spellStart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гагопроводу</w:t>
            </w:r>
            <w:proofErr w:type="spellEnd"/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right="-108" w:hanging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31D" w:rsidRPr="00AB531D" w:rsidTr="002266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ind w:left="-108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281,6</w:t>
            </w:r>
          </w:p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D" w:rsidRPr="00AB531D" w:rsidRDefault="00AB531D" w:rsidP="00226603">
            <w:pPr>
              <w:tabs>
                <w:tab w:val="left" w:pos="658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96,8</w:t>
            </w:r>
          </w:p>
        </w:tc>
      </w:tr>
    </w:tbl>
    <w:p w:rsidR="00AB531D" w:rsidRPr="00AB531D" w:rsidRDefault="00AB531D" w:rsidP="00AB5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31D">
        <w:rPr>
          <w:rFonts w:ascii="Times New Roman" w:hAnsi="Times New Roman" w:cs="Times New Roman"/>
          <w:b/>
          <w:sz w:val="28"/>
          <w:szCs w:val="28"/>
        </w:rPr>
        <w:t>ЗДРАВООХРАНЕНИЕ, ФИЗИЧЕСКАЯ КУЛЬТУРА  И СПОРТ</w:t>
      </w:r>
    </w:p>
    <w:p w:rsidR="00AB531D" w:rsidRPr="00AB531D" w:rsidRDefault="00AB531D" w:rsidP="00AB531D">
      <w:pPr>
        <w:tabs>
          <w:tab w:val="left" w:pos="42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По разделу 09 «Здравоохранение, физическая культура и спорт» в 2021 году     средств не выделялось.</w:t>
      </w:r>
    </w:p>
    <w:p w:rsidR="00AB531D" w:rsidRPr="00AB531D" w:rsidRDefault="00AB531D" w:rsidP="00AB531D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531D">
        <w:rPr>
          <w:rFonts w:ascii="Times New Roman" w:hAnsi="Times New Roman" w:cs="Times New Roman"/>
          <w:b/>
          <w:sz w:val="28"/>
          <w:szCs w:val="28"/>
        </w:rPr>
        <w:t>Ф.0503169 «Сведения о дебиторской и кредиторской задолженности»</w:t>
      </w:r>
    </w:p>
    <w:p w:rsidR="00AB531D" w:rsidRPr="00AB531D" w:rsidRDefault="00AB531D" w:rsidP="00AB531D">
      <w:pPr>
        <w:tabs>
          <w:tab w:val="left" w:pos="4170"/>
        </w:tabs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Дебиторская задолженность по бюджетной деятельности  на 01.07.2021 года составляет -4 522 349,79 (из них 4 363 100- дотации на выравнивании бюджетной обеспеченности; 148273,79- субвенции на осуществление первичного воинского учета, 798,02-дебиторская задолженность по электроэнергии; 4846,73-дебиторская задолженность по оплате за уличное освещение, 5331,25- остаток неиспользованных межбюджетных трансфертов.)</w:t>
      </w:r>
    </w:p>
    <w:p w:rsidR="00AB531D" w:rsidRPr="00AB531D" w:rsidRDefault="00AB531D" w:rsidP="00AB531D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Кредиторская  задолженность по бюджетной деятельности  на 01.07.2021г.   составила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 xml:space="preserve"> </w:t>
      </w:r>
      <w:r w:rsidRPr="00AB531D">
        <w:rPr>
          <w:rFonts w:ascii="Times New Roman" w:hAnsi="Times New Roman" w:cs="Times New Roman"/>
          <w:b/>
          <w:sz w:val="28"/>
          <w:szCs w:val="28"/>
        </w:rPr>
        <w:t>204750,39.</w:t>
      </w:r>
    </w:p>
    <w:tbl>
      <w:tblPr>
        <w:tblW w:w="9915" w:type="dxa"/>
        <w:tblInd w:w="93" w:type="dxa"/>
        <w:tblLayout w:type="fixed"/>
        <w:tblLook w:val="04A0"/>
      </w:tblPr>
      <w:tblGrid>
        <w:gridCol w:w="1275"/>
        <w:gridCol w:w="1440"/>
        <w:gridCol w:w="1440"/>
        <w:gridCol w:w="1440"/>
        <w:gridCol w:w="4320"/>
      </w:tblGrid>
      <w:tr w:rsidR="00AB531D" w:rsidRPr="00AB531D" w:rsidTr="00226603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(код) счета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Сумма задолженности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наличия </w:t>
            </w: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задолженности  (гр.3) </w:t>
            </w:r>
          </w:p>
        </w:tc>
      </w:tr>
      <w:tr w:rsidR="00AB531D" w:rsidRPr="00AB531D" w:rsidTr="00226603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sz w:val="28"/>
                <w:szCs w:val="28"/>
              </w:rPr>
              <w:t>на 01.07.2021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130221000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2636,74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по услугам  связи за июнь 2021г.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130225000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50715,35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за обслуживание газопроводов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130225000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за обслуживание пожарной сигнализации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1 30234000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7743,00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кредиторской задолженности за  ГСМ  июнь 2021г 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130211000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86055,86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по выплате заработной платы за июнь 2021 года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130301000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15280,00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по НДФЛ за июнь 2021г.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130302000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3489,75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кредиторской задолженности по фонду соц</w:t>
            </w:r>
            <w:proofErr w:type="gramStart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трахования (ФСС)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130305000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кредиторской задолженности по транспортному налогу 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130306000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240,66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кредиторской задолженности по страховым взносам от несчастного </w:t>
            </w:r>
            <w:proofErr w:type="spellStart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слу</w:t>
            </w:r>
            <w:proofErr w:type="spellEnd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 </w:t>
            </w: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130307000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6137,13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кредиторской задолженности  по </w:t>
            </w:r>
            <w:proofErr w:type="spellStart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</w:t>
            </w:r>
            <w:proofErr w:type="gramStart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зносам</w:t>
            </w:r>
            <w:proofErr w:type="spellEnd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обяз.медиц.страхов</w:t>
            </w:r>
            <w:proofErr w:type="spellEnd"/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130310000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26473,90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кредиторской задолженности по взносам ПФР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130312000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3800,00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1D" w:rsidRPr="00AB531D" w:rsidRDefault="00AB531D" w:rsidP="002266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кредиторской задолженности по налогам на имущество</w:t>
            </w:r>
          </w:p>
        </w:tc>
      </w:tr>
      <w:tr w:rsidR="00AB531D" w:rsidRPr="00AB531D" w:rsidTr="0022660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204750,39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31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1D" w:rsidRPr="00AB531D" w:rsidRDefault="00AB531D" w:rsidP="00226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AB531D" w:rsidRPr="00AB531D" w:rsidRDefault="00AB531D" w:rsidP="00AB531D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531D">
        <w:rPr>
          <w:rFonts w:ascii="Times New Roman" w:hAnsi="Times New Roman" w:cs="Times New Roman"/>
          <w:sz w:val="28"/>
          <w:szCs w:val="28"/>
        </w:rPr>
        <w:t xml:space="preserve"> По разделу 10 «Социальная политика» утверждены расходы на отчетный год в сумме 68,0 тыс. рублей  кассовое исполнение составило 34,2 тыс.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 xml:space="preserve"> или 20,3 % от утвержденных бюджетных ассигнований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531D" w:rsidRPr="00AB531D" w:rsidRDefault="00AB531D" w:rsidP="00AB53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Расходы на пенсионное обеспечение – 34,2 тыс</w:t>
      </w:r>
      <w:proofErr w:type="gramStart"/>
      <w:r w:rsidRPr="00AB5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31D">
        <w:rPr>
          <w:rFonts w:ascii="Times New Roman" w:hAnsi="Times New Roman" w:cs="Times New Roman"/>
          <w:sz w:val="28"/>
          <w:szCs w:val="28"/>
        </w:rPr>
        <w:t>ублей</w:t>
      </w:r>
    </w:p>
    <w:p w:rsidR="00AB531D" w:rsidRPr="00AB531D" w:rsidRDefault="00AB531D" w:rsidP="00AB5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2021г  не утверждались</w:t>
      </w:r>
    </w:p>
    <w:p w:rsidR="00AB531D" w:rsidRPr="00AB531D" w:rsidRDefault="00AB531D" w:rsidP="00AB53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За первое полугодие 2021 года основные средства не приобретались, материальные запасы приобретены на сумму 32414,00 рублей: из них – 28339,0 рублей (ГСМ), 4075 - запчасти для косы для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обкашивания</w:t>
      </w:r>
      <w:proofErr w:type="spellEnd"/>
      <w:r w:rsidRPr="00AB531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AB531D" w:rsidRPr="00AB531D" w:rsidRDefault="00AB531D" w:rsidP="00AB53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На 01 июля 2021 года просроченной кредиторской задолженности нет, текущая задолженность по оказанным услугам за июнь 2021 года: услуги связи,  ГСМ, обслуживание газопроводов, уплата налогов на имущество и транспорт, обслуживание пожарной сигнализации.</w:t>
      </w: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31D" w:rsidRPr="00AB531D" w:rsidRDefault="00AB531D" w:rsidP="00AB531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31D" w:rsidRPr="00AB531D" w:rsidRDefault="00AB531D" w:rsidP="00AB531D">
      <w:pPr>
        <w:tabs>
          <w:tab w:val="left" w:pos="4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531D" w:rsidRPr="00AB531D" w:rsidRDefault="00AB531D" w:rsidP="00AB531D">
      <w:pPr>
        <w:tabs>
          <w:tab w:val="left" w:pos="4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</w:p>
    <w:p w:rsidR="00AB531D" w:rsidRPr="00AB531D" w:rsidRDefault="00AB531D" w:rsidP="00AB531D">
      <w:pPr>
        <w:tabs>
          <w:tab w:val="left" w:pos="4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lastRenderedPageBreak/>
        <w:t xml:space="preserve">Монастырщинского района </w:t>
      </w:r>
    </w:p>
    <w:p w:rsidR="00AB531D" w:rsidRPr="00AB531D" w:rsidRDefault="00AB531D" w:rsidP="00AB531D">
      <w:pPr>
        <w:tabs>
          <w:tab w:val="left" w:pos="417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B531D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С.В Иванов</w:t>
      </w:r>
    </w:p>
    <w:p w:rsidR="00AB531D" w:rsidRPr="00AB531D" w:rsidRDefault="00AB531D" w:rsidP="00AB531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1D" w:rsidRDefault="00AB531D" w:rsidP="00AB531D">
      <w:pPr>
        <w:tabs>
          <w:tab w:val="left" w:pos="4170"/>
        </w:tabs>
        <w:spacing w:after="0" w:line="240" w:lineRule="auto"/>
      </w:pPr>
      <w:r w:rsidRPr="00AB531D">
        <w:rPr>
          <w:rFonts w:ascii="Times New Roman" w:hAnsi="Times New Roman" w:cs="Times New Roman"/>
          <w:sz w:val="28"/>
          <w:szCs w:val="28"/>
        </w:rPr>
        <w:t xml:space="preserve">        Старший менеджер                                                               Н.В. </w:t>
      </w:r>
      <w:proofErr w:type="spellStart"/>
      <w:r w:rsidRPr="00AB531D"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</w:p>
    <w:sectPr w:rsidR="00AB531D" w:rsidSect="00AF2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1D" w:rsidRDefault="00AB531D" w:rsidP="00AB531D">
      <w:pPr>
        <w:spacing w:after="0" w:line="240" w:lineRule="auto"/>
      </w:pPr>
      <w:r>
        <w:separator/>
      </w:r>
    </w:p>
  </w:endnote>
  <w:endnote w:type="continuationSeparator" w:id="0">
    <w:p w:rsidR="00AB531D" w:rsidRDefault="00AB531D" w:rsidP="00A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1D" w:rsidRDefault="00AB531D" w:rsidP="00AB531D">
      <w:pPr>
        <w:spacing w:after="0" w:line="240" w:lineRule="auto"/>
      </w:pPr>
      <w:r>
        <w:separator/>
      </w:r>
    </w:p>
  </w:footnote>
  <w:footnote w:type="continuationSeparator" w:id="0">
    <w:p w:rsidR="00AB531D" w:rsidRDefault="00AB531D" w:rsidP="00AB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C64"/>
    <w:rsid w:val="00122257"/>
    <w:rsid w:val="001958CE"/>
    <w:rsid w:val="00835256"/>
    <w:rsid w:val="00942E8D"/>
    <w:rsid w:val="009A6F66"/>
    <w:rsid w:val="00AB531D"/>
    <w:rsid w:val="00AF2C64"/>
    <w:rsid w:val="00D2630E"/>
    <w:rsid w:val="00E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AB5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5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31D"/>
  </w:style>
  <w:style w:type="paragraph" w:styleId="a7">
    <w:name w:val="footer"/>
    <w:basedOn w:val="a"/>
    <w:link w:val="a8"/>
    <w:uiPriority w:val="99"/>
    <w:semiHidden/>
    <w:unhideWhenUsed/>
    <w:rsid w:val="00AB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2021-07-21T11:16:00Z</cp:lastPrinted>
  <dcterms:created xsi:type="dcterms:W3CDTF">2021-07-21T11:13:00Z</dcterms:created>
  <dcterms:modified xsi:type="dcterms:W3CDTF">2021-09-01T09:21:00Z</dcterms:modified>
</cp:coreProperties>
</file>