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3"/>
      <w:footerReference w:type="first" r:id="rId3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0E" w:rsidRDefault="000C6F0E" w:rsidP="004B2649">
      <w:pPr>
        <w:spacing w:after="0" w:line="240" w:lineRule="auto"/>
      </w:pPr>
      <w:r>
        <w:separator/>
      </w:r>
    </w:p>
  </w:endnote>
  <w:endnote w:type="continuationSeparator" w:id="0">
    <w:p w:rsidR="000C6F0E" w:rsidRDefault="000C6F0E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Pr="0036510B" w:rsidRDefault="0036510B">
    <w:pPr>
      <w:pStyle w:val="a7"/>
      <w:rPr>
        <w:sz w:val="16"/>
      </w:rPr>
    </w:pPr>
    <w:r>
      <w:rPr>
        <w:sz w:val="16"/>
      </w:rPr>
      <w:t>Исх. № Иcх 4556 от 27.12.2019, Вх. № Вх-6985 от 30.12.2019, Подписано ЭП: Клавденкова Светлана Юрьевна, Начальник отдела 27.12.2019 14:30:20; Сырченкова Екатерина Анатольевна, И.о. начальника Департамента 27.12.2019 16:31:25,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0E" w:rsidRDefault="000C6F0E" w:rsidP="004B2649">
      <w:pPr>
        <w:spacing w:after="0" w:line="240" w:lineRule="auto"/>
      </w:pPr>
      <w:r>
        <w:separator/>
      </w:r>
    </w:p>
  </w:footnote>
  <w:footnote w:type="continuationSeparator" w:id="0">
    <w:p w:rsidR="000C6F0E" w:rsidRDefault="000C6F0E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70">
          <w:rPr>
            <w:noProof/>
          </w:rPr>
          <w:t>7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0C6F0E"/>
    <w:rsid w:val="001E7104"/>
    <w:rsid w:val="00252DB9"/>
    <w:rsid w:val="002824CD"/>
    <w:rsid w:val="00361E9A"/>
    <w:rsid w:val="0036510B"/>
    <w:rsid w:val="003B4270"/>
    <w:rsid w:val="0041389A"/>
    <w:rsid w:val="004B2649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INFOPOL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INFOPOL</cp:lastModifiedBy>
  <cp:revision>2</cp:revision>
  <dcterms:created xsi:type="dcterms:W3CDTF">2019-12-31T07:57:00Z</dcterms:created>
  <dcterms:modified xsi:type="dcterms:W3CDTF">2019-12-31T07:57:00Z</dcterms:modified>
</cp:coreProperties>
</file>